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  <w:rPr>
          <w:rFonts w:hint="eastAsia" w:eastAsiaTheme="majorEastAsia"/>
          <w:sz w:val="44"/>
          <w:szCs w:val="44"/>
          <w:lang w:eastAsia="zh-CN"/>
        </w:rPr>
      </w:pPr>
      <w:r>
        <w:rPr>
          <w:rFonts w:hint="eastAsia" w:eastAsiaTheme="majorEastAsia"/>
          <w:sz w:val="44"/>
          <w:szCs w:val="44"/>
          <w:lang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-913765</wp:posOffset>
            </wp:positionV>
            <wp:extent cx="7566025" cy="10705465"/>
            <wp:effectExtent l="0" t="0" r="3175" b="13335"/>
            <wp:wrapNone/>
            <wp:docPr id="21" name="图片 21" descr="e3c6e7cbfaf98da5e739717b0db63016_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3c6e7cbfaf98da5e739717b0db63016_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6025" cy="1070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4"/>
        <w:rPr>
          <w:sz w:val="44"/>
          <w:szCs w:val="44"/>
        </w:rPr>
      </w:pPr>
    </w:p>
    <w:p>
      <w:pPr>
        <w:pStyle w:val="24"/>
        <w:rPr>
          <w:sz w:val="44"/>
          <w:szCs w:val="44"/>
        </w:rPr>
      </w:pPr>
    </w:p>
    <w:p>
      <w:pPr>
        <w:pStyle w:val="24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Style w:val="24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碳链记-基于区块链的</w:t>
      </w:r>
    </w:p>
    <w:p>
      <w:pPr>
        <w:pStyle w:val="24"/>
        <w:rPr>
          <w:rFonts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pStyle w:val="24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:lang w:val="en-US" w:eastAsia="zh-CN"/>
          <w14:textFill>
            <w14:solidFill>
              <w14:schemeClr w14:val="bg1"/>
            </w14:solidFill>
          </w14:textFill>
        </w:rPr>
        <w:t>第三方监管机构</w:t>
      </w: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端</w:t>
      </w:r>
    </w:p>
    <w:p>
      <w:pPr>
        <w:pStyle w:val="24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用户使用手册</w:t>
      </w: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ind w:firstLine="2162" w:firstLineChars="600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ascii="Times New Roman Regular" w:hAnsi="Times New Roman Regular" w:cs="Times New Roman Regular"/>
          <w:b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jc w:val="both"/>
        <w:rPr>
          <w:rFonts w:hint="eastAsia"/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zh-CN"/>
          <w14:ligatures w14:val="standardContextual"/>
        </w:rPr>
        <w:id w:val="17135388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en-US"/>
          <w14:ligatures w14:val="standardContextual"/>
        </w:rPr>
      </w:sdtEndPr>
      <w:sdtContent>
        <w:p>
          <w:pPr>
            <w:pStyle w:val="46"/>
            <w:jc w:val="center"/>
          </w:pPr>
          <w:r>
            <w:rPr>
              <w:lang w:val="zh-CN"/>
            </w:rPr>
            <w:t>目录</w:t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 w:val="0"/>
              <w:bCs w:val="0"/>
            </w:rPr>
            <w:fldChar w:fldCharType="begin"/>
          </w:r>
          <w:r>
            <w:instrText xml:space="preserve">TOC \o "1-3" \h \z \u</w:instrText>
          </w:r>
          <w:r>
            <w:rPr>
              <w:b w:val="0"/>
              <w:bCs w:val="0"/>
            </w:rPr>
            <w:fldChar w:fldCharType="separate"/>
          </w: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HYPERLINK \l _Toc632000390 </w:instrText>
          </w:r>
          <w:r>
            <w:rPr>
              <w:bCs w:val="0"/>
            </w:rPr>
            <w:fldChar w:fldCharType="separate"/>
          </w:r>
          <w:r>
            <w:rPr>
              <w:rFonts w:ascii="Times New Roman" w:hAnsi="Times New Roman" w:eastAsia="楷体" w:cs="Times New Roman"/>
              <w:szCs w:val="44"/>
            </w:rPr>
            <w:t>1.</w:t>
          </w:r>
          <w:r>
            <w:rPr>
              <w:rFonts w:hint="eastAsia" w:ascii="楷体" w:hAnsi="楷体" w:eastAsia="楷体"/>
              <w:szCs w:val="44"/>
            </w:rPr>
            <w:t>软件概述</w:t>
          </w:r>
          <w:r>
            <w:tab/>
          </w:r>
          <w:r>
            <w:fldChar w:fldCharType="begin"/>
          </w:r>
          <w:r>
            <w:instrText xml:space="preserve"> PAGEREF _Toc632000390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 w:val="0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_Toc576436668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1.1</w:t>
          </w:r>
          <w:r>
            <w:rPr>
              <w:rFonts w:hint="eastAsia" w:ascii="楷体" w:hAnsi="楷体" w:eastAsia="楷体"/>
              <w:szCs w:val="32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_Toc576436668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_Toc872347459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1.2</w:t>
          </w:r>
          <w:r>
            <w:rPr>
              <w:rFonts w:hint="eastAsia" w:ascii="楷体" w:hAnsi="楷体" w:eastAsia="楷体"/>
              <w:szCs w:val="32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_Toc872347459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_Toc672885344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1.3</w:t>
          </w:r>
          <w:r>
            <w:rPr>
              <w:rFonts w:hint="eastAsia" w:ascii="楷体" w:hAnsi="楷体" w:eastAsia="楷体"/>
              <w:szCs w:val="32"/>
            </w:rPr>
            <w:t>性能</w:t>
          </w:r>
          <w:r>
            <w:tab/>
          </w:r>
          <w:r>
            <w:fldChar w:fldCharType="begin"/>
          </w:r>
          <w:r>
            <w:instrText xml:space="preserve"> PAGEREF _Toc672885344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_Toc535091506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  <w:szCs w:val="44"/>
            </w:rPr>
            <w:t>2.</w:t>
          </w:r>
          <w:r>
            <w:rPr>
              <w:rFonts w:hint="eastAsia" w:ascii="楷体" w:hAnsi="楷体" w:eastAsia="楷体"/>
              <w:szCs w:val="44"/>
              <w:lang w:val="en-US" w:eastAsia="zh-CN"/>
            </w:rPr>
            <w:t>第三方监管机构端</w:t>
          </w:r>
          <w:r>
            <w:tab/>
          </w:r>
          <w:r>
            <w:fldChar w:fldCharType="begin"/>
          </w:r>
          <w:r>
            <w:instrText xml:space="preserve"> PAGEREF _Toc535091506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_Toc1768911353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2.1</w:t>
          </w:r>
          <w:r>
            <w:rPr>
              <w:rFonts w:hint="eastAsia" w:ascii="楷体" w:hAnsi="楷体" w:eastAsia="楷体"/>
              <w:szCs w:val="32"/>
            </w:rPr>
            <w:t>登录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与</w:t>
          </w:r>
          <w:r>
            <w:rPr>
              <w:rFonts w:hint="eastAsia" w:ascii="楷体" w:hAnsi="楷体" w:eastAsia="楷体"/>
              <w:szCs w:val="32"/>
            </w:rPr>
            <w:t>注册</w:t>
          </w:r>
          <w:r>
            <w:tab/>
          </w:r>
          <w:r>
            <w:fldChar w:fldCharType="begin"/>
          </w:r>
          <w:r>
            <w:instrText xml:space="preserve"> PAGEREF _Toc1768911353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_Toc329500803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2.2</w:t>
          </w:r>
          <w:r>
            <w:rPr>
              <w:rFonts w:hint="eastAsia" w:ascii="楷体" w:hAnsi="楷体" w:eastAsia="楷体"/>
              <w:szCs w:val="32"/>
            </w:rPr>
            <w:t>控制台</w:t>
          </w:r>
          <w:r>
            <w:tab/>
          </w:r>
          <w:r>
            <w:fldChar w:fldCharType="begin"/>
          </w:r>
          <w:r>
            <w:instrText xml:space="preserve"> PAGEREF _Toc329500803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_Toc1707154055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2.3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数据分析</w:t>
          </w:r>
          <w:r>
            <w:tab/>
          </w:r>
          <w:r>
            <w:fldChar w:fldCharType="begin"/>
          </w:r>
          <w:r>
            <w:instrText xml:space="preserve"> PAGEREF _Toc1707154055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_Toc1756678465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2.4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数据审核</w:t>
          </w:r>
          <w:r>
            <w:tab/>
          </w:r>
          <w:r>
            <w:fldChar w:fldCharType="begin"/>
          </w:r>
          <w:r>
            <w:instrText xml:space="preserve"> PAGEREF _Toc1756678465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_Toc889782299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2.5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查看碳核算数据</w:t>
          </w:r>
          <w:r>
            <w:tab/>
          </w:r>
          <w:r>
            <w:fldChar w:fldCharType="begin"/>
          </w:r>
          <w:r>
            <w:instrText xml:space="preserve"> PAGEREF _Toc889782299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_Toc1642465232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2.6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查看证明材料</w:t>
          </w:r>
          <w:r>
            <w:tab/>
          </w:r>
          <w:r>
            <w:fldChar w:fldCharType="begin"/>
          </w:r>
          <w:r>
            <w:instrText xml:space="preserve"> PAGEREF _Toc1642465232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_Toc1158355686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2.7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生成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碳排放报告</w:t>
          </w:r>
          <w:r>
            <w:tab/>
          </w:r>
          <w:r>
            <w:fldChar w:fldCharType="begin"/>
          </w:r>
          <w:r>
            <w:instrText xml:space="preserve"> PAGEREF _Toc1158355686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_Toc1544754547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8用户管理</w:t>
          </w:r>
          <w:r>
            <w:tab/>
          </w:r>
          <w:r>
            <w:fldChar w:fldCharType="begin"/>
          </w:r>
          <w:r>
            <w:instrText xml:space="preserve"> PAGEREF _Toc1544754547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_Toc1759862846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9溯源中心</w:t>
          </w:r>
          <w:r>
            <w:tab/>
          </w:r>
          <w:r>
            <w:fldChar w:fldCharType="begin"/>
          </w:r>
          <w:r>
            <w:instrText xml:space="preserve"> PAGEREF _Toc1759862846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/>
    <w:p>
      <w:pPr>
        <w:pStyle w:val="2"/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sectPr>
          <w:footerReference r:id="rId5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rPr>
          <w:rFonts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0" w:name="_Toc632000390"/>
      <w:r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软件概述</w:t>
      </w:r>
      <w:bookmarkEnd w:id="0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" w:name="_Toc57643666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概述</w:t>
      </w:r>
      <w:bookmarkEnd w:id="1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第三方监管机构端提供了全面的数据监控和审计工具，专门为监管机构设计，以确保碳交易市场的合规性和透明度。监管机构可以通过这些工具监督、审核和分析所有碳交易活动。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2" w:name="_Toc87234745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功能</w:t>
      </w:r>
      <w:bookmarkEnd w:id="2"/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1、</w:t>
      </w:r>
      <w:r>
        <w:rPr>
          <w:rFonts w:hint="eastAsia" w:ascii="楷体" w:hAnsi="楷体" w:eastAsia="楷体"/>
          <w:sz w:val="24"/>
        </w:rPr>
        <w:t>监管机构可以全面查看和监控市场的碳交易活动。</w:t>
      </w:r>
    </w:p>
    <w:p>
      <w:pPr>
        <w:spacing w:line="240" w:lineRule="auto"/>
        <w:ind w:left="220" w:leftChars="100"/>
        <w:rPr>
          <w:rFonts w:hint="eastAsia" w:ascii="楷体" w:hAnsi="楷体" w:eastAsia="楷体"/>
          <w:sz w:val="24"/>
          <w:lang w:eastAsia="zh-CN"/>
        </w:rPr>
      </w:pPr>
      <w:r>
        <w:rPr>
          <w:rFonts w:ascii="Times New Roman" w:hAnsi="Times New Roman" w:eastAsia="楷体" w:cs="Times New Roman"/>
          <w:sz w:val="24"/>
        </w:rPr>
        <w:t>2、</w:t>
      </w:r>
      <w:r>
        <w:rPr>
          <w:rFonts w:hint="eastAsia" w:ascii="楷体" w:hAnsi="楷体" w:eastAsia="楷体"/>
          <w:sz w:val="24"/>
        </w:rPr>
        <w:t>审核和确认碳核算数据的准确性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3、</w:t>
      </w:r>
      <w:r>
        <w:rPr>
          <w:rFonts w:hint="eastAsia" w:ascii="楷体" w:hAnsi="楷体" w:eastAsia="楷体"/>
          <w:sz w:val="24"/>
        </w:rPr>
        <w:t>监控碳排放报告的生成和发布。</w:t>
      </w:r>
    </w:p>
    <w:p>
      <w:pPr>
        <w:spacing w:line="240" w:lineRule="auto"/>
        <w:ind w:left="220" w:leftChars="100"/>
        <w:rPr>
          <w:rFonts w:hint="eastAsia"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4、</w:t>
      </w:r>
      <w:r>
        <w:rPr>
          <w:rFonts w:hint="eastAsia" w:ascii="楷体" w:hAnsi="楷体" w:eastAsia="楷体"/>
          <w:sz w:val="24"/>
        </w:rPr>
        <w:t>管理和核实企业提交的证明材料。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" w:name="_Toc672885344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1.3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性能</w:t>
      </w:r>
      <w:bookmarkEnd w:id="3"/>
    </w:p>
    <w:p>
      <w:pPr>
        <w:ind w:firstLine="420"/>
        <w:rPr>
          <w:rFonts w:ascii="楷体" w:hAnsi="楷体" w:eastAsia="楷体" w:cs="Segoe UI"/>
          <w:color w:val="0D0D0D"/>
          <w:sz w:val="24"/>
          <w:shd w:val="clear" w:color="auto" w:fill="FFFFFF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  <w:lang w:val="en-US" w:eastAsia="zh-CN"/>
        </w:rPr>
        <w:t>设计用于高效的数据处理和优化的用户体验，确保监管工作的流畅执行。</w:t>
      </w:r>
    </w:p>
    <w:p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br w:type="page"/>
      </w:r>
    </w:p>
    <w:p>
      <w:pPr>
        <w:pStyle w:val="2"/>
        <w:rPr>
          <w:rFonts w:hint="default" w:eastAsia="楷体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bookmarkStart w:id="4" w:name="_Toc535091506"/>
      <w:r>
        <w:rPr>
          <w:rFonts w:ascii="Times New Roman" w:hAnsi="Times New Roman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楷体" w:hAnsi="楷体" w:eastAsia="楷体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第三方监管机构端</w:t>
      </w:r>
      <w:bookmarkEnd w:id="4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5" w:name="_Toc1768911353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登录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与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注册</w:t>
      </w:r>
      <w:bookmarkEnd w:id="5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监管机构的工作人员可以通过此界面进行账号的登录或注册。</w:t>
      </w:r>
    </w:p>
    <w:p>
      <w:r>
        <w:drawing>
          <wp:inline distT="0" distB="0" distL="114300" distR="114300">
            <wp:extent cx="5266690" cy="2966085"/>
            <wp:effectExtent l="0" t="0" r="165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图2.1登录界面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ascii="Times New Roman" w:hAnsi="Times New Roman" w:eastAsia="楷体" w:cs="楷体"/>
          <w:bCs/>
          <w:sz w:val="21"/>
          <w:szCs w:val="21"/>
        </w:rPr>
        <w:t>2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注册界面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6" w:name="_Toc329500803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控制台</w:t>
      </w:r>
      <w:bookmarkEnd w:id="6"/>
    </w:p>
    <w:p>
      <w:pPr>
        <w:ind w:firstLine="420"/>
        <w:rPr>
          <w:rFonts w:hint="default" w:ascii="楷体" w:hAnsi="楷体" w:eastAsia="楷体"/>
          <w:sz w:val="24"/>
          <w:lang w:val="en-US" w:eastAsia="zh-CN"/>
        </w:rPr>
      </w:pPr>
      <w:r>
        <w:rPr>
          <w:rFonts w:hint="default" w:ascii="楷体" w:hAnsi="楷体" w:eastAsia="楷体"/>
          <w:sz w:val="24"/>
          <w:lang w:val="en-US" w:eastAsia="zh-CN"/>
        </w:rPr>
        <w:t>监管机构登陆后进入的主界面。此界面提供碳交易市场的实时数据概览，包括但不限于企业的注册数量、提交的碳核算表格数量以及总体的企业合规评估。此外，还展示了企业增长趋势和碳交易活动的图表，帮助监管机构迅速把握市场动态。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ascii="Times New Roman" w:hAnsi="Times New Roman" w:eastAsia="楷体" w:cs="楷体"/>
          <w:bCs/>
          <w:sz w:val="21"/>
          <w:szCs w:val="21"/>
        </w:rPr>
        <w:t>3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控制台界面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7" w:name="_Toc1707154055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2.3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数据分析</w:t>
      </w:r>
      <w:bookmarkEnd w:id="7"/>
    </w:p>
    <w:p>
      <w:pPr>
        <w:ind w:firstLine="420"/>
        <w:rPr>
          <w:rFonts w:hint="default" w:ascii="楷体" w:hAnsi="楷体" w:eastAsia="楷体"/>
          <w:sz w:val="24"/>
          <w:lang w:val="en-US"/>
        </w:rPr>
      </w:pPr>
      <w:r>
        <w:rPr>
          <w:rFonts w:hint="eastAsia" w:ascii="楷体" w:hAnsi="楷体" w:eastAsia="楷体"/>
          <w:sz w:val="24"/>
          <w:lang w:val="en-US" w:eastAsia="zh-CN"/>
        </w:rPr>
        <w:t>该界面为监管机构提供了一个强大的数据分析工具，用于审查和监控碳交易市场的活动。监管机构可以查看未审核和已审核的碳交易记录，详细分析每个企业的交易活动，并通过审核详情列表进行深入的数据审查。此功能旨在增强交易的透明度并确保市场的公正性。</w:t>
      </w:r>
      <w:r>
        <w:rPr>
          <w:rFonts w:hint="eastAsia" w:ascii="楷体" w:hAnsi="楷体" w:eastAsia="楷体"/>
          <w:sz w:val="24"/>
          <w:lang w:val="en-US" w:eastAsia="zh-CN"/>
        </w:rPr>
        <w:tab/>
      </w:r>
    </w:p>
    <w:p>
      <w:pPr>
        <w:jc w:val="center"/>
      </w:pPr>
      <w:r>
        <w:drawing>
          <wp:inline distT="0" distB="0" distL="114300" distR="114300">
            <wp:extent cx="4779645" cy="2691765"/>
            <wp:effectExtent l="0" t="0" r="2095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ascii="Times New Roman" w:hAnsi="Times New Roman" w:eastAsia="楷体" w:cs="楷体"/>
          <w:bCs/>
          <w:sz w:val="21"/>
          <w:szCs w:val="21"/>
        </w:rPr>
        <w:t>4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数据分析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8" w:name="_Toc1756678465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2.4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数据审核</w:t>
      </w:r>
      <w:bookmarkEnd w:id="8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允许监管机构审核企业提交的碳核算数据和相关证明材料，确保数据的合规性。</w:t>
      </w:r>
    </w:p>
    <w:p>
      <w:r>
        <w:drawing>
          <wp:inline distT="0" distB="0" distL="114300" distR="114300">
            <wp:extent cx="5266690" cy="2966085"/>
            <wp:effectExtent l="0" t="0" r="16510" b="571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5数据审核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9" w:name="_Toc88978229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2.5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查看碳核算数据</w:t>
      </w:r>
      <w:bookmarkEnd w:id="9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详细查看并分析各企业提交的碳核算数据。</w:t>
      </w:r>
    </w:p>
    <w:p>
      <w:r>
        <w:drawing>
          <wp:inline distT="0" distB="0" distL="114300" distR="114300">
            <wp:extent cx="5271135" cy="1822450"/>
            <wp:effectExtent l="0" t="0" r="1206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6.1电网企业 - 附表1</w:t>
      </w:r>
    </w:p>
    <w:p>
      <w:r>
        <w:drawing>
          <wp:inline distT="0" distB="0" distL="114300" distR="114300">
            <wp:extent cx="5271135" cy="4494530"/>
            <wp:effectExtent l="0" t="0" r="12065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6.2电网企业 - 附表2</w:t>
      </w:r>
    </w:p>
    <w:p>
      <w:r>
        <w:drawing>
          <wp:inline distT="0" distB="0" distL="114300" distR="114300">
            <wp:extent cx="5271135" cy="1809750"/>
            <wp:effectExtent l="0" t="0" r="12065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6.3电网企业 - 附表3</w:t>
      </w:r>
    </w:p>
    <w:p>
      <w:r>
        <w:drawing>
          <wp:inline distT="0" distB="0" distL="114300" distR="114300">
            <wp:extent cx="5270500" cy="2693035"/>
            <wp:effectExtent l="0" t="0" r="12700" b="247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7.1化工企业 - 附表1</w:t>
      </w:r>
    </w:p>
    <w:p>
      <w:r>
        <w:drawing>
          <wp:inline distT="0" distB="0" distL="114300" distR="114300">
            <wp:extent cx="5270500" cy="2226310"/>
            <wp:effectExtent l="0" t="0" r="1270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7.2化工企业 - 附表2</w:t>
      </w:r>
    </w:p>
    <w:p>
      <w:r>
        <w:drawing>
          <wp:inline distT="0" distB="0" distL="114300" distR="114300">
            <wp:extent cx="5269230" cy="3248660"/>
            <wp:effectExtent l="0" t="0" r="1397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7.3化工企业 - 附表3</w:t>
      </w:r>
    </w:p>
    <w:p>
      <w:r>
        <w:drawing>
          <wp:inline distT="0" distB="0" distL="114300" distR="114300">
            <wp:extent cx="5264785" cy="1985645"/>
            <wp:effectExtent l="0" t="0" r="18415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7.4化工企业 - 附表4</w:t>
      </w:r>
    </w:p>
    <w:p>
      <w:r>
        <w:drawing>
          <wp:inline distT="0" distB="0" distL="114300" distR="114300">
            <wp:extent cx="5264785" cy="2933700"/>
            <wp:effectExtent l="0" t="0" r="1841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7.5化工企业 - 附表5</w:t>
      </w:r>
    </w:p>
    <w:p>
      <w:r>
        <w:drawing>
          <wp:inline distT="0" distB="0" distL="114300" distR="114300">
            <wp:extent cx="5264785" cy="2090420"/>
            <wp:effectExtent l="0" t="0" r="18415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7.6化工企业 - 附表6</w:t>
      </w:r>
    </w:p>
    <w:p>
      <w:r>
        <w:drawing>
          <wp:inline distT="0" distB="0" distL="114300" distR="114300">
            <wp:extent cx="5270500" cy="2310130"/>
            <wp:effectExtent l="0" t="0" r="1270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7.7化工企业 - 附表7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0" w:name="_Toc164246523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2.6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查看证明材料</w:t>
      </w:r>
      <w:bookmarkEnd w:id="10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审核企业提交的各类证明材料，如</w:t>
      </w:r>
      <w:r>
        <w:rPr>
          <w:rFonts w:hint="eastAsia" w:ascii="楷体" w:hAnsi="楷体" w:eastAsia="楷体"/>
          <w:sz w:val="24"/>
          <w:lang w:val="en-US" w:eastAsia="zh-CN"/>
        </w:rPr>
        <w:t>公司营业执照</w:t>
      </w:r>
      <w:r>
        <w:rPr>
          <w:rFonts w:ascii="楷体" w:hAnsi="楷体" w:eastAsia="楷体"/>
          <w:sz w:val="24"/>
          <w:lang w:val="en-US" w:eastAsia="zh-CN"/>
        </w:rPr>
        <w:t>、</w:t>
      </w:r>
      <w:r>
        <w:rPr>
          <w:rFonts w:hint="eastAsia" w:ascii="楷体" w:hAnsi="楷体" w:eastAsia="楷体"/>
          <w:sz w:val="24"/>
          <w:lang w:val="en-US" w:eastAsia="zh-CN"/>
        </w:rPr>
        <w:t>行政许可和资质</w:t>
      </w:r>
      <w:r>
        <w:rPr>
          <w:rFonts w:ascii="楷体" w:hAnsi="楷体" w:eastAsia="楷体"/>
          <w:sz w:val="24"/>
          <w:lang w:val="en-US" w:eastAsia="zh-CN"/>
        </w:rPr>
        <w:t>等。</w:t>
      </w:r>
    </w:p>
    <w:p>
      <w:pPr>
        <w:jc w:val="center"/>
      </w:pPr>
      <w:r>
        <w:drawing>
          <wp:inline distT="0" distB="0" distL="114300" distR="114300">
            <wp:extent cx="4105275" cy="3124200"/>
            <wp:effectExtent l="0" t="0" r="952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8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  <w:t>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电网企业证明材料</w:t>
      </w:r>
    </w:p>
    <w:p>
      <w:pPr>
        <w:jc w:val="center"/>
      </w:pPr>
      <w:r>
        <w:drawing>
          <wp:inline distT="0" distB="0" distL="114300" distR="114300">
            <wp:extent cx="4086225" cy="3133725"/>
            <wp:effectExtent l="0" t="0" r="3175" b="158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/>
        </w:rPr>
        <w:t>8.2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化工企业证明材料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1" w:name="_Toc115835568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2.7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生成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碳排放报告</w:t>
      </w:r>
      <w:bookmarkEnd w:id="11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根据核实的数据生成官方的碳排放报告。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/>
        </w:rPr>
        <w:t>9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碳排放报告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2" w:name="_Toc1544754547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8用户管理</w:t>
      </w:r>
      <w:bookmarkEnd w:id="12"/>
    </w:p>
    <w:p>
      <w:pPr>
        <w:ind w:firstLine="480" w:firstLineChars="200"/>
        <w:jc w:val="both"/>
        <w:rPr>
          <w:rFonts w:ascii="楷体" w:hAnsi="楷体" w:eastAsia="楷体"/>
          <w:sz w:val="24"/>
          <w:lang w:val="en-US" w:eastAsia="zh-CN"/>
        </w:rPr>
      </w:pPr>
      <w:r>
        <w:rPr>
          <w:rFonts w:ascii="楷体" w:hAnsi="楷体" w:eastAsia="楷体"/>
          <w:sz w:val="24"/>
          <w:lang w:val="en-US" w:eastAsia="zh-CN"/>
        </w:rPr>
        <w:t>管理访问系统的用户账户，包括权限分配和活动监控。</w:t>
      </w:r>
    </w:p>
    <w:p>
      <w:pPr>
        <w:jc w:val="both"/>
        <w:rPr>
          <w:rFonts w:ascii="楷体" w:hAnsi="楷体" w:eastAsia="楷体"/>
          <w:sz w:val="24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651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10用户管理界面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3" w:name="_Toc175986284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9溯源中心</w:t>
      </w:r>
      <w:bookmarkEnd w:id="13"/>
    </w:p>
    <w:p>
      <w:pPr>
        <w:ind w:firstLine="480" w:firstLineChars="200"/>
        <w:jc w:val="both"/>
        <w:rPr>
          <w:rFonts w:ascii="楷体" w:hAnsi="楷体" w:eastAsia="楷体"/>
          <w:sz w:val="24"/>
          <w:lang w:val="en-US" w:eastAsia="zh-CN"/>
        </w:rPr>
      </w:pPr>
      <w:r>
        <w:rPr>
          <w:rFonts w:ascii="楷体" w:hAnsi="楷体" w:eastAsia="楷体"/>
          <w:sz w:val="24"/>
          <w:lang w:val="en-US" w:eastAsia="zh-CN"/>
        </w:rPr>
        <w:t>对所有碳交易活动的起源和流程进行追踪和记录。</w:t>
      </w:r>
    </w:p>
    <w:p>
      <w:pPr>
        <w:jc w:val="both"/>
      </w:pPr>
      <w:r>
        <w:drawing>
          <wp:inline distT="0" distB="0" distL="114300" distR="114300">
            <wp:extent cx="5266690" cy="2966085"/>
            <wp:effectExtent l="0" t="0" r="16510" b="571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11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  <w:t>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溯源中心界面</w:t>
      </w:r>
    </w:p>
    <w:p>
      <w:pPr>
        <w:jc w:val="both"/>
        <w:rPr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651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</w:pPr>
      <w:bookmarkStart w:id="14" w:name="_GoBack"/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11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  <w:t>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详情界面</w:t>
      </w:r>
    </w:p>
    <w:bookmarkEnd w:id="14"/>
    <w:p>
      <w:pPr>
        <w:jc w:val="center"/>
        <w:rPr>
          <w:rFonts w:hint="default" w:ascii="Times New Roman" w:hAnsi="Times New Roman" w:eastAsia="楷体" w:cs="楷体"/>
          <w:bCs/>
          <w:sz w:val="24"/>
          <w:lang w:val="en-US" w:eastAsia="zh-CN"/>
        </w:rPr>
      </w:pPr>
    </w:p>
    <w:sectPr>
      <w:footerReference r:id="rId6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altName w:val="楷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等线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MIkSXj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Ud5jm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NR3mOY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989"/>
    <w:rsid w:val="000959DA"/>
    <w:rsid w:val="00100454"/>
    <w:rsid w:val="00277068"/>
    <w:rsid w:val="002831AE"/>
    <w:rsid w:val="002957F4"/>
    <w:rsid w:val="0031351F"/>
    <w:rsid w:val="00327897"/>
    <w:rsid w:val="00372651"/>
    <w:rsid w:val="00380241"/>
    <w:rsid w:val="00544989"/>
    <w:rsid w:val="00615CC8"/>
    <w:rsid w:val="006E46BA"/>
    <w:rsid w:val="00704F35"/>
    <w:rsid w:val="0076424E"/>
    <w:rsid w:val="007A1300"/>
    <w:rsid w:val="00943694"/>
    <w:rsid w:val="009B6BB8"/>
    <w:rsid w:val="009C78C8"/>
    <w:rsid w:val="00AB5A59"/>
    <w:rsid w:val="00B3262D"/>
    <w:rsid w:val="00C05E46"/>
    <w:rsid w:val="00CB5923"/>
    <w:rsid w:val="00D73A57"/>
    <w:rsid w:val="00DC1BCE"/>
    <w:rsid w:val="00DC2B6E"/>
    <w:rsid w:val="00E0406F"/>
    <w:rsid w:val="00F223C0"/>
    <w:rsid w:val="31BA6EE7"/>
    <w:rsid w:val="377F8DFA"/>
    <w:rsid w:val="4FF74488"/>
    <w:rsid w:val="6ADA9034"/>
    <w:rsid w:val="775BAA14"/>
    <w:rsid w:val="A5FFA7D5"/>
    <w:rsid w:val="BA41294D"/>
    <w:rsid w:val="CFDCFEEE"/>
    <w:rsid w:val="DD972272"/>
    <w:rsid w:val="EFEF12A4"/>
    <w:rsid w:val="F58E8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3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3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6">
    <w:name w:val="Default Paragraph Font"/>
    <w:semiHidden/>
    <w:unhideWhenUsed/>
    <w:qFormat/>
    <w:uiPriority w:val="1"/>
  </w:style>
  <w:style w:type="table" w:default="1" w:styleId="2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nhideWhenUsed/>
    <w:qFormat/>
    <w:uiPriority w:val="39"/>
    <w:pPr>
      <w:spacing w:after="0"/>
      <w:ind w:left="1320"/>
    </w:pPr>
    <w:rPr>
      <w:rFonts w:eastAsiaTheme="minorHAnsi"/>
      <w:sz w:val="18"/>
      <w:szCs w:val="18"/>
    </w:rPr>
  </w:style>
  <w:style w:type="paragraph" w:styleId="12">
    <w:name w:val="toc 5"/>
    <w:basedOn w:val="1"/>
    <w:next w:val="1"/>
    <w:semiHidden/>
    <w:unhideWhenUsed/>
    <w:qFormat/>
    <w:uiPriority w:val="39"/>
    <w:pPr>
      <w:spacing w:after="0"/>
      <w:ind w:left="880"/>
    </w:pPr>
    <w:rPr>
      <w:rFonts w:eastAsiaTheme="minorHAnsi"/>
      <w:sz w:val="18"/>
      <w:szCs w:val="18"/>
    </w:rPr>
  </w:style>
  <w:style w:type="paragraph" w:styleId="13">
    <w:name w:val="toc 3"/>
    <w:basedOn w:val="1"/>
    <w:next w:val="1"/>
    <w:unhideWhenUsed/>
    <w:qFormat/>
    <w:uiPriority w:val="39"/>
    <w:pPr>
      <w:spacing w:after="0"/>
      <w:ind w:left="440"/>
    </w:pPr>
    <w:rPr>
      <w:rFonts w:eastAsiaTheme="minorHAnsi"/>
      <w:i/>
      <w:iCs/>
      <w:sz w:val="20"/>
      <w:szCs w:val="20"/>
    </w:rPr>
  </w:style>
  <w:style w:type="paragraph" w:styleId="14">
    <w:name w:val="toc 8"/>
    <w:basedOn w:val="1"/>
    <w:next w:val="1"/>
    <w:semiHidden/>
    <w:unhideWhenUsed/>
    <w:qFormat/>
    <w:uiPriority w:val="39"/>
    <w:pPr>
      <w:spacing w:after="0"/>
      <w:ind w:left="1540"/>
    </w:pPr>
    <w:rPr>
      <w:rFonts w:eastAsiaTheme="minorHAnsi"/>
      <w:sz w:val="18"/>
      <w:szCs w:val="18"/>
    </w:rPr>
  </w:style>
  <w:style w:type="paragraph" w:styleId="15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6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7">
    <w:name w:val="toc 1"/>
    <w:basedOn w:val="1"/>
    <w:next w:val="1"/>
    <w:unhideWhenUsed/>
    <w:qFormat/>
    <w:uiPriority w:val="39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18">
    <w:name w:val="toc 4"/>
    <w:basedOn w:val="1"/>
    <w:next w:val="1"/>
    <w:semiHidden/>
    <w:unhideWhenUsed/>
    <w:qFormat/>
    <w:uiPriority w:val="39"/>
    <w:pPr>
      <w:spacing w:after="0"/>
      <w:ind w:left="660"/>
    </w:pPr>
    <w:rPr>
      <w:rFonts w:eastAsiaTheme="minorHAnsi"/>
      <w:sz w:val="18"/>
      <w:szCs w:val="18"/>
    </w:rPr>
  </w:style>
  <w:style w:type="paragraph" w:styleId="19">
    <w:name w:val="Subtitle"/>
    <w:basedOn w:val="1"/>
    <w:next w:val="1"/>
    <w:link w:val="3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0">
    <w:name w:val="toc 6"/>
    <w:basedOn w:val="1"/>
    <w:next w:val="1"/>
    <w:semiHidden/>
    <w:unhideWhenUsed/>
    <w:qFormat/>
    <w:uiPriority w:val="39"/>
    <w:pPr>
      <w:spacing w:after="0"/>
      <w:ind w:left="1100"/>
    </w:pPr>
    <w:rPr>
      <w:rFonts w:eastAsiaTheme="minorHAnsi"/>
      <w:sz w:val="18"/>
      <w:szCs w:val="18"/>
    </w:rPr>
  </w:style>
  <w:style w:type="paragraph" w:styleId="21">
    <w:name w:val="toc 2"/>
    <w:basedOn w:val="1"/>
    <w:next w:val="1"/>
    <w:unhideWhenUsed/>
    <w:qFormat/>
    <w:uiPriority w:val="39"/>
    <w:pPr>
      <w:spacing w:after="0"/>
      <w:ind w:left="220"/>
    </w:pPr>
    <w:rPr>
      <w:rFonts w:eastAsiaTheme="minorHAnsi"/>
      <w:smallCaps/>
      <w:sz w:val="20"/>
      <w:szCs w:val="20"/>
    </w:rPr>
  </w:style>
  <w:style w:type="paragraph" w:styleId="22">
    <w:name w:val="toc 9"/>
    <w:basedOn w:val="1"/>
    <w:next w:val="1"/>
    <w:semiHidden/>
    <w:unhideWhenUsed/>
    <w:qFormat/>
    <w:uiPriority w:val="39"/>
    <w:pPr>
      <w:spacing w:after="0"/>
      <w:ind w:left="1760"/>
    </w:pPr>
    <w:rPr>
      <w:rFonts w:eastAsiaTheme="minorHAnsi"/>
      <w:sz w:val="18"/>
      <w:szCs w:val="18"/>
    </w:rPr>
  </w:style>
  <w:style w:type="paragraph" w:styleId="23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4">
    <w:name w:val="Title"/>
    <w:basedOn w:val="1"/>
    <w:next w:val="1"/>
    <w:link w:val="3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27">
    <w:name w:val="Hyperlink"/>
    <w:basedOn w:val="26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6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9">
    <w:name w:val="标题 2 字符"/>
    <w:basedOn w:val="26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30">
    <w:name w:val="标题 3 字符"/>
    <w:basedOn w:val="26"/>
    <w:link w:val="4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31">
    <w:name w:val="标题 4 字符"/>
    <w:basedOn w:val="26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32">
    <w:name w:val="标题 5 字符"/>
    <w:basedOn w:val="26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33">
    <w:name w:val="标题 6 字符"/>
    <w:basedOn w:val="26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34">
    <w:name w:val="标题 7 字符"/>
    <w:basedOn w:val="26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5">
    <w:name w:val="标题 8 字符"/>
    <w:basedOn w:val="26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6">
    <w:name w:val="标题 9 字符"/>
    <w:basedOn w:val="26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7">
    <w:name w:val="标题 字符"/>
    <w:basedOn w:val="26"/>
    <w:link w:val="2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8">
    <w:name w:val="副标题 字符"/>
    <w:basedOn w:val="26"/>
    <w:link w:val="19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9">
    <w:name w:val="Quote"/>
    <w:basedOn w:val="1"/>
    <w:next w:val="1"/>
    <w:link w:val="4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引用 字符"/>
    <w:basedOn w:val="26"/>
    <w:link w:val="3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1">
    <w:name w:val="List Paragraph"/>
    <w:basedOn w:val="1"/>
    <w:qFormat/>
    <w:uiPriority w:val="34"/>
    <w:pPr>
      <w:ind w:left="720"/>
      <w:contextualSpacing/>
    </w:pPr>
  </w:style>
  <w:style w:type="character" w:customStyle="1" w:styleId="42">
    <w:name w:val="Intense Emphasis"/>
    <w:basedOn w:val="26"/>
    <w:qFormat/>
    <w:uiPriority w:val="21"/>
    <w:rPr>
      <w:i/>
      <w:iCs/>
      <w:color w:val="104862" w:themeColor="accent1" w:themeShade="BF"/>
    </w:rPr>
  </w:style>
  <w:style w:type="paragraph" w:styleId="43">
    <w:name w:val="Intense Quote"/>
    <w:basedOn w:val="1"/>
    <w:next w:val="1"/>
    <w:link w:val="4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44">
    <w:name w:val="明显引用 字符"/>
    <w:basedOn w:val="26"/>
    <w:link w:val="43"/>
    <w:qFormat/>
    <w:uiPriority w:val="30"/>
    <w:rPr>
      <w:i/>
      <w:iCs/>
      <w:color w:val="104862" w:themeColor="accent1" w:themeShade="BF"/>
    </w:rPr>
  </w:style>
  <w:style w:type="character" w:customStyle="1" w:styleId="45">
    <w:name w:val="Intense Reference"/>
    <w:basedOn w:val="26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spacing w:after="0" w:line="276" w:lineRule="auto"/>
      <w:outlineLvl w:val="9"/>
    </w:pPr>
    <w:rPr>
      <w:b/>
      <w:bCs/>
      <w:kern w:val="0"/>
      <w:sz w:val="28"/>
      <w:szCs w:val="28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334</Words>
  <Characters>1904</Characters>
  <Lines>15</Lines>
  <Paragraphs>4</Paragraphs>
  <TotalTime>2</TotalTime>
  <ScaleCrop>false</ScaleCrop>
  <LinksUpToDate>false</LinksUpToDate>
  <CharactersWithSpaces>2234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2024-04-16T04:08:00Z</dcterms:created>
  <dc:creator>悦妍 冯</dc:creator>
  <cp:lastModifiedBy>:-(</cp:lastModifiedBy>
  <dcterms:modified xsi:type="dcterms:W3CDTF">2024-04-15T10:56:42Z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D82C045D7C8FFD02D0891B666EFD58BB_42</vt:lpwstr>
  </property>
</Properties>
</file>